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before="0" w:after="160"/>
      </w:pPr>
      <w:r>
        <w:rPr>
          <w:rFonts w:ascii="Noto Sans" w:hAnsi="Noto Sans" w:eastAsia="Noto Sans"/>
          <w:b w:val="0"/>
          <w:color w:val="9E2B22"/>
          <w:sz w:val="16"/>
        </w:rPr>
        <w:t>12 ANGRY MEN  ·  1957     /     NOTICE THE LEAP</w:t>
      </w:r>
    </w:p>
    <w:p>
      <w:pPr>
        <w:pStyle w:val="Title"/>
        <w:keepNext/>
        <w:widowControl/>
        <w:spacing w:before="0" w:after="140"/>
      </w:pPr>
      <w:r>
        <w:rPr>
          <w:rFonts w:ascii="Noto Serif" w:hAnsi="Noto Serif" w:eastAsia="Noto Serif"/>
          <w:b/>
          <w:color w:val="221E17"/>
          <w:sz w:val="56"/>
        </w:rPr>
        <w:t>What the evidence shows</w:t>
      </w:r>
    </w:p>
    <w:p>
      <w:pPr>
        <w:keepNext w:val="0"/>
        <w:widowControl/>
        <w:spacing w:before="0" w:after="160"/>
      </w:pPr>
      <w:r>
        <w:rPr>
          <w:rFonts w:ascii="Noto Sans" w:hAnsi="Noto Sans" w:eastAsia="Noto Sans"/>
          <w:b w:val="0"/>
          <w:color w:val="221E17"/>
          <w:sz w:val="22"/>
        </w:rPr>
        <w:t>After watching, find the gap between what someone reports and what the jury concludes.</w:t>
      </w:r>
    </w:p>
    <w:p>
      <w:pPr>
        <w:keepNext w:val="0"/>
        <w:widowControl/>
        <w:spacing w:before="0" w:after="160"/>
      </w:pPr>
      <w:r>
        <w:rPr>
          <w:rFonts w:ascii="Noto Sans" w:hAnsi="Noto Sans" w:eastAsia="Noto Sans"/>
          <w:b w:val="0"/>
          <w:color w:val="6E6656"/>
          <w:sz w:val="18"/>
        </w:rPr>
        <w:t>Name __________________________________    Date __________________</w:t>
      </w:r>
    </w:p>
    <w:p>
      <w:pPr>
        <w:keepNext/>
        <w:widowControl/>
        <w:spacing w:before="200" w:after="100"/>
      </w:pPr>
      <w:r>
        <w:rPr>
          <w:rFonts w:ascii="Noto Sans" w:hAnsi="Noto Sans" w:eastAsia="Noto Sans"/>
          <w:b/>
          <w:color w:val="9E2B22"/>
          <w:sz w:val="26"/>
        </w:rPr>
        <w:t xml:space="preserve">01  </w:t>
      </w:r>
      <w:r>
        <w:rPr>
          <w:rFonts w:ascii="Noto Serif" w:hAnsi="Noto Serif" w:eastAsia="Noto Serif"/>
          <w:b/>
          <w:color w:val="221E17"/>
          <w:sz w:val="30"/>
        </w:rPr>
        <w:t>Give each statement a label</w:t>
      </w:r>
    </w:p>
    <w:p>
      <w:pPr>
        <w:keepNext w:val="0"/>
        <w:widowControl/>
        <w:spacing w:before="0" w:after="120"/>
      </w:pPr>
      <w:r>
        <w:rPr>
          <w:rFonts w:ascii="Noto Sans" w:hAnsi="Noto Sans" w:eastAsia="Noto Sans"/>
          <w:b w:val="0"/>
          <w:color w:val="221E17"/>
          <w:sz w:val="22"/>
        </w:rPr>
        <w:t xml:space="preserve">An </w:t>
      </w:r>
      <w:r>
        <w:rPr>
          <w:rFonts w:ascii="Noto Sans" w:hAnsi="Noto Sans" w:eastAsia="Noto Sans"/>
          <w:b/>
          <w:color w:val="221E17"/>
          <w:sz w:val="22"/>
        </w:rPr>
        <w:t>observation</w:t>
      </w:r>
      <w:r>
        <w:rPr>
          <w:rFonts w:ascii="Noto Sans" w:hAnsi="Noto Sans" w:eastAsia="Noto Sans"/>
          <w:b w:val="0"/>
          <w:color w:val="221E17"/>
          <w:sz w:val="22"/>
        </w:rPr>
        <w:t xml:space="preserve"> is something seen or heard. A </w:t>
      </w:r>
      <w:r>
        <w:rPr>
          <w:rFonts w:ascii="Noto Sans" w:hAnsi="Noto Sans" w:eastAsia="Noto Sans"/>
          <w:b/>
          <w:color w:val="221E17"/>
          <w:sz w:val="22"/>
        </w:rPr>
        <w:t>claim</w:t>
      </w:r>
      <w:r>
        <w:rPr>
          <w:rFonts w:ascii="Noto Sans" w:hAnsi="Noto Sans" w:eastAsia="Noto Sans"/>
          <w:b w:val="0"/>
          <w:color w:val="221E17"/>
          <w:sz w:val="22"/>
        </w:rPr>
        <w:t xml:space="preserve"> asks us to accept a statement; it may report someone’s observation. An </w:t>
      </w:r>
      <w:r>
        <w:rPr>
          <w:rFonts w:ascii="Noto Sans" w:hAnsi="Noto Sans" w:eastAsia="Noto Sans"/>
          <w:b/>
          <w:color w:val="221E17"/>
          <w:sz w:val="22"/>
        </w:rPr>
        <w:t>inference</w:t>
      </w:r>
      <w:r>
        <w:rPr>
          <w:rFonts w:ascii="Noto Sans" w:hAnsi="Noto Sans" w:eastAsia="Noto Sans"/>
          <w:b w:val="0"/>
          <w:color w:val="221E17"/>
          <w:sz w:val="22"/>
        </w:rPr>
        <w:t xml:space="preserve"> draws a conclusion using an assumption.</w:t>
      </w:r>
    </w:p>
    <w:p>
      <w:pPr>
        <w:keepNext w:val="0"/>
        <w:widowControl/>
        <w:spacing w:before="0" w:after="120"/>
      </w:pPr>
      <w:r>
        <w:rPr>
          <w:rFonts w:ascii="Noto Sans" w:hAnsi="Noto Sans" w:eastAsia="Noto Sans"/>
          <w:b w:val="0"/>
          <w:color w:val="221E17"/>
          <w:sz w:val="22"/>
        </w:rPr>
        <w:t xml:space="preserve">Circle </w:t>
      </w:r>
      <w:r>
        <w:rPr>
          <w:rFonts w:ascii="Noto Sans" w:hAnsi="Noto Sans" w:eastAsia="Noto Sans"/>
          <w:b/>
          <w:color w:val="221E17"/>
          <w:sz w:val="22"/>
        </w:rPr>
        <w:t>O</w:t>
      </w:r>
      <w:r>
        <w:rPr>
          <w:rFonts w:ascii="Noto Sans" w:hAnsi="Noto Sans" w:eastAsia="Noto Sans"/>
          <w:b w:val="0"/>
          <w:color w:val="221E17"/>
          <w:sz w:val="22"/>
        </w:rPr>
        <w:t xml:space="preserve"> for an event we see in the jury room, </w:t>
      </w:r>
      <w:r>
        <w:rPr>
          <w:rFonts w:ascii="Noto Sans" w:hAnsi="Noto Sans" w:eastAsia="Noto Sans"/>
          <w:b/>
          <w:color w:val="221E17"/>
          <w:sz w:val="22"/>
        </w:rPr>
        <w:t>C</w:t>
      </w:r>
      <w:r>
        <w:rPr>
          <w:rFonts w:ascii="Noto Sans" w:hAnsi="Noto Sans" w:eastAsia="Noto Sans"/>
          <w:b w:val="0"/>
          <w:color w:val="221E17"/>
          <w:sz w:val="22"/>
        </w:rPr>
        <w:t xml:space="preserve"> for a reported claim about the case, or </w:t>
      </w:r>
      <w:r>
        <w:rPr>
          <w:rFonts w:ascii="Noto Sans" w:hAnsi="Noto Sans" w:eastAsia="Noto Sans"/>
          <w:b/>
          <w:color w:val="221E17"/>
          <w:sz w:val="22"/>
        </w:rPr>
        <w:t>I</w:t>
      </w:r>
      <w:r>
        <w:rPr>
          <w:rFonts w:ascii="Noto Sans" w:hAnsi="Noto Sans" w:eastAsia="Noto Sans"/>
          <w:b w:val="0"/>
          <w:color w:val="221E17"/>
          <w:sz w:val="22"/>
        </w:rPr>
        <w:t xml:space="preserve"> for an inference. These are paraphrases, not film dialogue.</w:t>
      </w:r>
    </w:p>
    <w:tbl>
      <w:tblPr>
        <w:tblW w:type="auto" w:w="0"/>
        <w:jc w:val="center"/>
        <w:tblLayout w:type="fixed"/>
        <w:tblLook w:firstColumn="1" w:firstRow="1" w:lastColumn="0" w:lastRow="0" w:noHBand="0" w:noVBand="1" w:val="04A0"/>
      </w:tblPr>
      <w:tblGrid>
        <w:gridCol w:w="9020"/>
        <w:gridCol w:w="1300"/>
      </w:tblGrid>
      <w:tr>
        <w:trPr>
          <w:cantSplit/>
        </w:trPr>
        <w:tc>
          <w:tcPr>
            <w:tcW w:type="dxa" w:w="90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100" w:type="dxa"/>
              <w:left w:w="100" w:type="dxa"/>
              <w:bottom w:w="100" w:type="dxa"/>
              <w:right w:w="100" w:type="dxa"/>
            </w:tcMar>
          </w:tcPr>
          <w:p>
            <w:pPr>
              <w:keepNext w:val="0"/>
              <w:widowControl/>
              <w:spacing w:before="0" w:after="0"/>
            </w:pPr>
            <w:r>
              <w:rPr>
                <w:rFonts w:ascii="Noto Sans" w:hAnsi="Noto Sans" w:eastAsia="Noto Sans"/>
                <w:b w:val="0"/>
                <w:color w:val="221E17"/>
                <w:sz w:val="22"/>
              </w:rPr>
              <w:t>1. The shopkeeper identified the weapon as matching the knife sold to the defendant.</w:t>
            </w:r>
          </w:p>
        </w:tc>
        <w:tc>
          <w:tcPr>
            <w:tcW w:type="dxa" w:w="13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100" w:type="dxa"/>
              <w:left w:w="100" w:type="dxa"/>
              <w:bottom w:w="100" w:type="dxa"/>
              <w:right w:w="100" w:type="dxa"/>
            </w:tcMar>
          </w:tcPr>
          <w:p>
            <w:pPr>
              <w:keepNext w:val="0"/>
              <w:widowControl/>
              <w:spacing w:before="0" w:after="0"/>
              <w:jc w:val="center"/>
            </w:pPr>
            <w:r>
              <w:rPr>
                <w:rFonts w:ascii="Noto Sans" w:hAnsi="Noto Sans" w:eastAsia="Noto Sans"/>
                <w:b w:val="0"/>
                <w:color w:val="221E17"/>
                <w:sz w:val="22"/>
              </w:rPr>
              <w:t>O  C  I</w:t>
            </w:r>
          </w:p>
        </w:tc>
      </w:tr>
      <w:tr>
        <w:trPr>
          <w:cantSplit/>
        </w:trPr>
        <w:tc>
          <w:tcPr>
            <w:tcW w:type="dxa" w:w="90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100" w:type="dxa"/>
              <w:left w:w="100" w:type="dxa"/>
              <w:bottom w:w="100" w:type="dxa"/>
              <w:right w:w="100" w:type="dxa"/>
            </w:tcMar>
          </w:tcPr>
          <w:p>
            <w:pPr>
              <w:keepNext w:val="0"/>
              <w:widowControl/>
              <w:spacing w:before="0" w:after="0"/>
            </w:pPr>
            <w:r>
              <w:rPr>
                <w:rFonts w:ascii="Noto Sans" w:hAnsi="Noto Sans" w:eastAsia="Noto Sans"/>
                <w:b w:val="0"/>
                <w:color w:val="221E17"/>
                <w:sz w:val="22"/>
              </w:rPr>
              <w:t>2. Therefore, the defendant must have used it in the murder.</w:t>
            </w:r>
          </w:p>
        </w:tc>
        <w:tc>
          <w:tcPr>
            <w:tcW w:type="dxa" w:w="13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100" w:type="dxa"/>
              <w:left w:w="100" w:type="dxa"/>
              <w:bottom w:w="100" w:type="dxa"/>
              <w:right w:w="100" w:type="dxa"/>
            </w:tcMar>
          </w:tcPr>
          <w:p>
            <w:pPr>
              <w:keepNext w:val="0"/>
              <w:widowControl/>
              <w:spacing w:before="0" w:after="0"/>
              <w:jc w:val="center"/>
            </w:pPr>
            <w:r>
              <w:rPr>
                <w:rFonts w:ascii="Noto Sans" w:hAnsi="Noto Sans" w:eastAsia="Noto Sans"/>
                <w:b w:val="0"/>
                <w:color w:val="221E17"/>
                <w:sz w:val="22"/>
              </w:rPr>
              <w:t>O  C  I</w:t>
            </w:r>
          </w:p>
        </w:tc>
      </w:tr>
      <w:tr>
        <w:trPr>
          <w:cantSplit/>
        </w:trPr>
        <w:tc>
          <w:tcPr>
            <w:tcW w:type="dxa" w:w="90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100" w:type="dxa"/>
              <w:left w:w="100" w:type="dxa"/>
              <w:bottom w:w="100" w:type="dxa"/>
              <w:right w:w="100" w:type="dxa"/>
            </w:tcMar>
          </w:tcPr>
          <w:p>
            <w:pPr>
              <w:keepNext w:val="0"/>
              <w:widowControl/>
              <w:spacing w:before="0" w:after="0"/>
            </w:pPr>
            <w:r>
              <w:rPr>
                <w:rFonts w:ascii="Noto Sans" w:hAnsi="Noto Sans" w:eastAsia="Noto Sans"/>
                <w:b w:val="0"/>
                <w:color w:val="221E17"/>
                <w:sz w:val="22"/>
              </w:rPr>
              <w:t>3. Juror 8 produces a similar knife in the jury room.</w:t>
            </w:r>
          </w:p>
        </w:tc>
        <w:tc>
          <w:tcPr>
            <w:tcW w:type="dxa" w:w="13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100" w:type="dxa"/>
              <w:left w:w="100" w:type="dxa"/>
              <w:bottom w:w="100" w:type="dxa"/>
              <w:right w:w="100" w:type="dxa"/>
            </w:tcMar>
          </w:tcPr>
          <w:p>
            <w:pPr>
              <w:keepNext w:val="0"/>
              <w:widowControl/>
              <w:spacing w:before="0" w:after="0"/>
              <w:jc w:val="center"/>
            </w:pPr>
            <w:r>
              <w:rPr>
                <w:rFonts w:ascii="Noto Sans" w:hAnsi="Noto Sans" w:eastAsia="Noto Sans"/>
                <w:b w:val="0"/>
                <w:color w:val="221E17"/>
                <w:sz w:val="22"/>
              </w:rPr>
              <w:t>O  C  I</w:t>
            </w:r>
          </w:p>
        </w:tc>
      </w:tr>
    </w:tbl>
    <w:p>
      <w:pPr>
        <w:keepNext w:val="0"/>
        <w:widowControl/>
        <w:spacing w:before="0" w:after="0" w:line="100" w:lineRule="exact"/>
      </w:pPr>
      <w:r>
        <w:rPr>
          <w:sz w:val="2"/>
        </w:rPr>
      </w:r>
    </w:p>
    <w:p>
      <w:pPr>
        <w:keepNext/>
        <w:widowControl/>
        <w:spacing w:before="0" w:after="20"/>
      </w:pPr>
      <w:r>
        <w:rPr>
          <w:rFonts w:ascii="Noto Sans" w:hAnsi="Noto Sans" w:eastAsia="Noto Sans"/>
          <w:b w:val="0"/>
          <w:color w:val="221E17"/>
          <w:sz w:val="22"/>
        </w:rPr>
        <w:t>Which word in statement 2 carries the biggest leap? Explain.</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keepNext/>
        <w:widowControl/>
        <w:spacing w:before="200" w:after="100"/>
      </w:pPr>
      <w:r>
        <w:rPr>
          <w:rFonts w:ascii="Noto Sans" w:hAnsi="Noto Sans" w:eastAsia="Noto Sans"/>
          <w:b/>
          <w:color w:val="9E2B22"/>
          <w:sz w:val="26"/>
        </w:rPr>
        <w:t xml:space="preserve">02  </w:t>
      </w:r>
      <w:r>
        <w:rPr>
          <w:rFonts w:ascii="Noto Serif" w:hAnsi="Noto Serif" w:eastAsia="Noto Serif"/>
          <w:b/>
          <w:color w:val="221E17"/>
          <w:sz w:val="30"/>
        </w:rPr>
        <w:t>Start the knife argument</w:t>
      </w:r>
    </w:p>
    <w:p>
      <w:pPr>
        <w:keepNext/>
        <w:widowControl/>
        <w:spacing w:before="0" w:after="20"/>
      </w:pPr>
      <w:r>
        <w:rPr>
          <w:rFonts w:ascii="Noto Sans" w:hAnsi="Noto Sans" w:eastAsia="Noto Sans"/>
          <w:b w:val="0"/>
          <w:color w:val="221E17"/>
          <w:sz w:val="22"/>
        </w:rPr>
        <w:t>Starting claim — What was the knife meant to establish?</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keepNext/>
        <w:widowControl/>
        <w:spacing w:before="0" w:after="20"/>
      </w:pPr>
      <w:r>
        <w:rPr>
          <w:rFonts w:ascii="Noto Sans" w:hAnsi="Noto Sans" w:eastAsia="Noto Sans"/>
          <w:b w:val="0"/>
          <w:color w:val="221E17"/>
          <w:sz w:val="22"/>
        </w:rPr>
        <w:t>Hidden assumption — What has to be true for that claim to identify the user?</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tbl>
      <w:tblPr>
        <w:tblW w:type="auto" w:w="0"/>
        <w:jc w:val="center"/>
        <w:tblLayout w:type="fixed"/>
        <w:tblLook w:firstColumn="1" w:firstRow="1" w:lastColumn="0" w:lastRow="0" w:noHBand="0" w:noVBand="1" w:val="04A0"/>
      </w:tblPr>
      <w:tblGrid>
        <w:gridCol w:w="8520"/>
        <w:gridCol w:w="1800"/>
      </w:tblGrid>
      <w:tr>
        <w:trPr>
          <w:cantSplit/>
        </w:trPr>
        <w:tc>
          <w:tcPr>
            <w:tcW w:type="dxa" w:w="85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100"/>
            </w:pPr>
            <w:r>
              <w:rPr>
                <w:rFonts w:ascii="Noto Sans" w:hAnsi="Noto Sans" w:eastAsia="Noto Sans"/>
                <w:b w:val="0"/>
                <w:color w:val="9E2B22"/>
                <w:sz w:val="17"/>
              </w:rPr>
              <w:t>LOOK AGAIN</w:t>
            </w:r>
          </w:p>
          <w:p>
            <w:pPr>
              <w:keepNext w:val="0"/>
              <w:widowControl/>
              <w:spacing w:before="0" w:after="0"/>
            </w:pPr>
            <w:r>
              <w:rPr>
                <w:rFonts w:ascii="Noto Serif" w:hAnsi="Noto Serif" w:eastAsia="Noto Serif"/>
                <w:b w:val="0"/>
                <w:color w:val="221E17"/>
                <w:sz w:val="23"/>
              </w:rPr>
              <w:t>Point to the step where a connection becomes a conclusion. Be ready to explain the assumption.</w:t>
            </w:r>
          </w:p>
        </w:tc>
        <w:tc>
          <w:tcPr>
            <w:tcW w:type="dxa" w:w="18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0"/>
              <w:jc w:val="right"/>
            </w:pPr>
            <w:r>
              <w:drawing>
                <wp:inline xmlns:a="http://schemas.openxmlformats.org/drawingml/2006/main" xmlns:pic="http://schemas.openxmlformats.org/drawingml/2006/picture">
                  <wp:extent cx="1003300" cy="1003300"/>
                  <wp:docPr id="1" name="Picture 1" descr="Momo thinking beside a classroom prompt."/>
                  <wp:cNvGraphicFramePr>
                    <a:graphicFrameLocks noChangeAspect="1"/>
                  </wp:cNvGraphicFramePr>
                  <a:graphic>
                    <a:graphicData uri="http://schemas.openxmlformats.org/drawingml/2006/picture">
                      <pic:pic>
                        <pic:nvPicPr>
                          <pic:cNvPr id="0" name="momo-thinking-v3.png"/>
                          <pic:cNvPicPr/>
                        </pic:nvPicPr>
                        <pic:blipFill>
                          <a:blip r:embed="rId11"/>
                          <a:stretch>
                            <a:fillRect/>
                          </a:stretch>
                        </pic:blipFill>
                        <pic:spPr>
                          <a:xfrm>
                            <a:off x="0" y="0"/>
                            <a:ext cx="1003300" cy="1003300"/>
                          </a:xfrm>
                          <a:prstGeom prst="rect"/>
                        </pic:spPr>
                      </pic:pic>
                    </a:graphicData>
                  </a:graphic>
                </wp:inline>
              </w:drawing>
            </w:r>
          </w:p>
        </w:tc>
      </w:tr>
    </w:tbl>
    <w:p>
      <w:pPr>
        <w:keepNext w:val="0"/>
        <w:widowControl/>
        <w:spacing w:before="0" w:after="0" w:line="100" w:lineRule="exact"/>
      </w:pPr>
      <w:r>
        <w:rPr>
          <w:sz w:val="2"/>
        </w:rPr>
      </w:r>
    </w:p>
    <w:p>
      <w:pPr>
        <w:sectPr>
          <w:headerReference w:type="default" r:id="rId9"/>
          <w:footerReference w:type="default" r:id="rId10"/>
          <w:pgSz w:w="12240" w:h="15840"/>
          <w:pgMar w:top="920" w:right="960" w:bottom="880" w:left="960" w:header="420" w:footer="460" w:gutter="0"/>
          <w:cols w:space="720"/>
          <w:docGrid w:linePitch="360"/>
        </w:sectPr>
      </w:pPr>
    </w:p>
    <w:p>
      <w:pPr>
        <w:keepNext w:val="0"/>
        <w:widowControl/>
        <w:spacing w:before="0" w:after="160"/>
      </w:pPr>
      <w:r>
        <w:rPr>
          <w:rFonts w:ascii="Noto Sans" w:hAnsi="Noto Sans" w:eastAsia="Noto Sans"/>
          <w:b w:val="0"/>
          <w:color w:val="9E2B22"/>
          <w:sz w:val="16"/>
        </w:rPr>
        <w:t>12 ANGRY MEN  ·  1957     /     TEST THE ARGUMENT</w:t>
      </w:r>
    </w:p>
    <w:p>
      <w:pPr>
        <w:pStyle w:val="Title"/>
        <w:keepNext/>
        <w:widowControl/>
        <w:spacing w:before="0" w:after="140"/>
      </w:pPr>
      <w:r>
        <w:rPr>
          <w:rFonts w:ascii="Noto Serif" w:hAnsi="Noto Serif" w:eastAsia="Noto Serif"/>
          <w:b/>
          <w:color w:val="221E17"/>
          <w:sz w:val="56"/>
        </w:rPr>
        <w:t>What the challenge changes</w:t>
      </w:r>
    </w:p>
    <w:p>
      <w:pPr>
        <w:keepNext/>
        <w:widowControl/>
        <w:spacing w:before="200" w:after="100"/>
      </w:pPr>
      <w:r>
        <w:rPr>
          <w:rFonts w:ascii="Noto Sans" w:hAnsi="Noto Sans" w:eastAsia="Noto Sans"/>
          <w:b/>
          <w:color w:val="9E2B22"/>
          <w:sz w:val="26"/>
        </w:rPr>
        <w:t xml:space="preserve">02  </w:t>
      </w:r>
      <w:r>
        <w:rPr>
          <w:rFonts w:ascii="Noto Serif" w:hAnsi="Noto Serif" w:eastAsia="Noto Serif"/>
          <w:b/>
          <w:color w:val="221E17"/>
          <w:sz w:val="30"/>
        </w:rPr>
        <w:t>The knife argument continued</w:t>
      </w:r>
    </w:p>
    <w:p>
      <w:pPr>
        <w:keepNext/>
        <w:widowControl/>
        <w:spacing w:before="0" w:after="20"/>
      </w:pPr>
      <w:r>
        <w:rPr>
          <w:rFonts w:ascii="Noto Sans" w:hAnsi="Noto Sans" w:eastAsia="Noto Sans"/>
          <w:b w:val="0"/>
          <w:color w:val="221E17"/>
          <w:sz w:val="22"/>
        </w:rPr>
        <w:t>Challenge — What does the second knife change?</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keepNext/>
        <w:widowControl/>
        <w:spacing w:before="0" w:after="20"/>
      </w:pPr>
      <w:r>
        <w:rPr>
          <w:rFonts w:ascii="Noto Sans" w:hAnsi="Noto Sans" w:eastAsia="Noto Sans"/>
          <w:b w:val="0"/>
          <w:color w:val="221E17"/>
          <w:sz w:val="22"/>
        </w:rPr>
        <w:t>Limit — What can this demonstration still not tell us?</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tbl>
      <w:tblPr>
        <w:tblW w:type="auto" w:w="0"/>
        <w:jc w:val="center"/>
        <w:tblLayout w:type="fixed"/>
        <w:tblLook w:firstColumn="1" w:firstRow="1" w:lastColumn="0" w:lastRow="0" w:noHBand="0" w:noVBand="1" w:val="04A0"/>
      </w:tblPr>
      <w:tblGrid>
        <w:gridCol w:w="8520"/>
        <w:gridCol w:w="1800"/>
      </w:tblGrid>
      <w:tr>
        <w:trPr>
          <w:cantSplit/>
        </w:trPr>
        <w:tc>
          <w:tcPr>
            <w:tcW w:type="dxa" w:w="85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100"/>
            </w:pPr>
            <w:r>
              <w:rPr>
                <w:rFonts w:ascii="Noto Sans" w:hAnsi="Noto Sans" w:eastAsia="Noto Sans"/>
                <w:b w:val="0"/>
                <w:color w:val="9E2B22"/>
                <w:sz w:val="17"/>
              </w:rPr>
              <w:t>PARTNER CHECK</w:t>
            </w:r>
          </w:p>
          <w:p>
            <w:pPr>
              <w:keepNext w:val="0"/>
              <w:widowControl/>
              <w:spacing w:before="0" w:after="0"/>
            </w:pPr>
            <w:r>
              <w:rPr>
                <w:rFonts w:ascii="Noto Serif" w:hAnsi="Noto Serif" w:eastAsia="Noto Serif"/>
                <w:b w:val="0"/>
                <w:color w:val="221E17"/>
                <w:sz w:val="23"/>
              </w:rPr>
              <w:t>Underline a conclusion in your partner’s answer. Ask what you would have to assume for it to follow.</w:t>
            </w:r>
          </w:p>
        </w:tc>
        <w:tc>
          <w:tcPr>
            <w:tcW w:type="dxa" w:w="18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0"/>
              <w:jc w:val="right"/>
            </w:pPr>
            <w:r>
              <w:drawing>
                <wp:inline xmlns:a="http://schemas.openxmlformats.org/drawingml/2006/main" xmlns:pic="http://schemas.openxmlformats.org/drawingml/2006/picture">
                  <wp:extent cx="1003300" cy="1003300"/>
                  <wp:docPr id="2" name="Picture 2" descr="Momo research beside a classroom prompt."/>
                  <wp:cNvGraphicFramePr>
                    <a:graphicFrameLocks noChangeAspect="1"/>
                  </wp:cNvGraphicFramePr>
                  <a:graphic>
                    <a:graphicData uri="http://schemas.openxmlformats.org/drawingml/2006/picture">
                      <pic:pic>
                        <pic:nvPicPr>
                          <pic:cNvPr id="0" name="momo-research-v1.png"/>
                          <pic:cNvPicPr/>
                        </pic:nvPicPr>
                        <pic:blipFill>
                          <a:blip r:embed="rId14"/>
                          <a:stretch>
                            <a:fillRect/>
                          </a:stretch>
                        </pic:blipFill>
                        <pic:spPr>
                          <a:xfrm>
                            <a:off x="0" y="0"/>
                            <a:ext cx="1003300" cy="1003300"/>
                          </a:xfrm>
                          <a:prstGeom prst="rect"/>
                        </pic:spPr>
                      </pic:pic>
                    </a:graphicData>
                  </a:graphic>
                </wp:inline>
              </w:drawing>
            </w:r>
          </w:p>
        </w:tc>
      </w:tr>
    </w:tbl>
    <w:p>
      <w:pPr>
        <w:keepNext w:val="0"/>
        <w:widowControl/>
        <w:spacing w:before="0" w:after="0" w:line="100" w:lineRule="exact"/>
      </w:pPr>
      <w:r>
        <w:rPr>
          <w:sz w:val="2"/>
        </w:rPr>
      </w:r>
    </w:p>
    <w:p>
      <w:pPr>
        <w:keepNext/>
        <w:widowControl/>
        <w:spacing w:before="200" w:after="100"/>
      </w:pPr>
      <w:r>
        <w:rPr>
          <w:rFonts w:ascii="Noto Sans" w:hAnsi="Noto Sans" w:eastAsia="Noto Sans"/>
          <w:b/>
          <w:color w:val="9E2B22"/>
          <w:sz w:val="26"/>
        </w:rPr>
        <w:t xml:space="preserve">03  </w:t>
      </w:r>
      <w:r>
        <w:rPr>
          <w:rFonts w:ascii="Noto Serif" w:hAnsi="Noto Serif" w:eastAsia="Noto Serif"/>
          <w:b/>
          <w:color w:val="221E17"/>
          <w:sz w:val="30"/>
        </w:rPr>
        <w:t>Trace the eyesight argument</w:t>
      </w:r>
    </w:p>
    <w:p>
      <w:pPr>
        <w:keepNext w:val="0"/>
        <w:widowControl/>
        <w:spacing w:before="0" w:after="120"/>
      </w:pPr>
      <w:r>
        <w:rPr>
          <w:rFonts w:ascii="Noto Sans" w:hAnsi="Noto Sans" w:eastAsia="Noto Sans"/>
          <w:b w:val="0"/>
          <w:color w:val="221E17"/>
          <w:sz w:val="22"/>
        </w:rPr>
        <w:t>Juror 9 remembers marks on a witness’s nose. The jurors infer that she wears glasses and question whether she wore them in bed. Keep each step separate.</w:t>
      </w:r>
    </w:p>
    <w:p>
      <w:pPr>
        <w:keepNext/>
        <w:widowControl/>
        <w:spacing w:before="0" w:after="20"/>
      </w:pPr>
      <w:r>
        <w:rPr>
          <w:rFonts w:ascii="Noto Sans" w:hAnsi="Noto Sans" w:eastAsia="Noto Sans"/>
          <w:b w:val="0"/>
          <w:color w:val="221E17"/>
          <w:sz w:val="22"/>
        </w:rPr>
        <w:t>Reported observation — What does Juror 9 say he noticed?</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keepNext/>
        <w:widowControl/>
        <w:spacing w:before="0" w:after="20"/>
      </w:pPr>
      <w:r>
        <w:rPr>
          <w:rFonts w:ascii="Noto Sans" w:hAnsi="Noto Sans" w:eastAsia="Noto Sans"/>
          <w:b w:val="0"/>
          <w:color w:val="221E17"/>
          <w:sz w:val="22"/>
        </w:rPr>
        <w:t>Inference — What do the jurors infer about that night?</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keepNext/>
        <w:widowControl/>
        <w:spacing w:before="0" w:after="20"/>
      </w:pPr>
      <w:r>
        <w:rPr>
          <w:rFonts w:ascii="Noto Sans" w:hAnsi="Noto Sans" w:eastAsia="Noto Sans"/>
          <w:b w:val="0"/>
          <w:color w:val="221E17"/>
          <w:sz w:val="22"/>
        </w:rPr>
        <w:t>Missing information — What would help you test that inference?</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sectPr>
          <w:headerReference w:type="default" r:id="rId12"/>
          <w:footerReference w:type="default" r:id="rId13"/>
          <w:pgSz w:w="12240" w:h="15840"/>
          <w:pgMar w:top="920" w:right="960" w:bottom="880" w:left="960" w:header="420" w:footer="460" w:gutter="0"/>
          <w:cols w:space="720"/>
          <w:docGrid w:linePitch="360"/>
        </w:sectPr>
      </w:pPr>
    </w:p>
    <w:p>
      <w:pPr>
        <w:keepNext w:val="0"/>
        <w:widowControl/>
        <w:spacing w:before="0" w:after="160"/>
      </w:pPr>
      <w:r>
        <w:rPr>
          <w:rFonts w:ascii="Noto Sans" w:hAnsi="Noto Sans" w:eastAsia="Noto Sans"/>
          <w:b w:val="0"/>
          <w:color w:val="9E2B22"/>
          <w:sz w:val="16"/>
        </w:rPr>
        <w:t>12 ANGRY MEN  ·  1957     /     WEIGH A CONCLUSION</w:t>
      </w:r>
    </w:p>
    <w:p>
      <w:pPr>
        <w:pStyle w:val="Title"/>
        <w:keepNext/>
        <w:widowControl/>
        <w:spacing w:before="0" w:after="140"/>
      </w:pPr>
      <w:r>
        <w:rPr>
          <w:rFonts w:ascii="Noto Serif" w:hAnsi="Noto Serif" w:eastAsia="Noto Serif"/>
          <w:b/>
          <w:color w:val="221E17"/>
          <w:sz w:val="56"/>
        </w:rPr>
        <w:t>A doubt can have a weak link</w:t>
      </w:r>
    </w:p>
    <w:p>
      <w:pPr>
        <w:keepNext/>
        <w:widowControl/>
        <w:spacing w:before="200" w:after="100"/>
      </w:pPr>
      <w:r>
        <w:rPr>
          <w:rFonts w:ascii="Noto Sans" w:hAnsi="Noto Sans" w:eastAsia="Noto Sans"/>
          <w:b/>
          <w:color w:val="9E2B22"/>
          <w:sz w:val="26"/>
        </w:rPr>
        <w:t xml:space="preserve">03  </w:t>
      </w:r>
      <w:r>
        <w:rPr>
          <w:rFonts w:ascii="Noto Serif" w:hAnsi="Noto Serif" w:eastAsia="Noto Serif"/>
          <w:b/>
          <w:color w:val="221E17"/>
          <w:sz w:val="30"/>
        </w:rPr>
        <w:t>The eyesight argument continued</w:t>
      </w:r>
    </w:p>
    <w:p>
      <w:pPr>
        <w:keepNext/>
        <w:widowControl/>
        <w:spacing w:before="0" w:after="20"/>
      </w:pPr>
      <w:r>
        <w:rPr>
          <w:rFonts w:ascii="Noto Sans" w:hAnsi="Noto Sans" w:eastAsia="Noto Sans"/>
          <w:b w:val="0"/>
          <w:color w:val="221E17"/>
          <w:sz w:val="22"/>
        </w:rPr>
        <w:t>Another explanation — What else could fit the eyesight information? What support would this explanation need?</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keepNext/>
        <w:widowControl/>
        <w:spacing w:before="200" w:after="100"/>
      </w:pPr>
      <w:r>
        <w:rPr>
          <w:rFonts w:ascii="Noto Sans" w:hAnsi="Noto Sans" w:eastAsia="Noto Sans"/>
          <w:b/>
          <w:color w:val="9E2B22"/>
          <w:sz w:val="26"/>
        </w:rPr>
        <w:t xml:space="preserve">04  </w:t>
      </w:r>
      <w:r>
        <w:rPr>
          <w:rFonts w:ascii="Noto Serif" w:hAnsi="Noto Serif" w:eastAsia="Noto Serif"/>
          <w:b/>
          <w:color w:val="221E17"/>
          <w:sz w:val="30"/>
        </w:rPr>
        <w:t>Is confidence doing the work</w:t>
      </w:r>
    </w:p>
    <w:p>
      <w:pPr>
        <w:keepNext w:val="0"/>
        <w:widowControl/>
        <w:spacing w:before="0" w:after="120"/>
      </w:pPr>
      <w:r>
        <w:rPr>
          <w:rFonts w:ascii="Noto Sans" w:hAnsi="Noto Sans" w:eastAsia="Noto Sans"/>
          <w:b w:val="0"/>
          <w:color w:val="221E17"/>
          <w:sz w:val="22"/>
        </w:rPr>
        <w:t>Choose a moment when prejudice, impatience or personal feeling affects the discussion. Identify the juror and describe an action or paraphrase a statement.</w:t>
      </w:r>
    </w:p>
    <w:p>
      <w:pPr>
        <w:keepNext/>
        <w:widowControl/>
        <w:spacing w:before="0" w:after="20"/>
      </w:pPr>
      <w:r>
        <w:rPr>
          <w:rFonts w:ascii="Noto Sans" w:hAnsi="Noto Sans" w:eastAsia="Noto Sans"/>
          <w:b w:val="0"/>
          <w:color w:val="221E17"/>
          <w:sz w:val="22"/>
        </w:rPr>
        <w:t>What does this moment contribute to the argument? What can it not establish about the defendant?</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p>
      <w:pPr>
        <w:keepNext/>
        <w:widowControl/>
        <w:spacing w:before="200" w:after="100"/>
      </w:pPr>
      <w:r>
        <w:rPr>
          <w:rFonts w:ascii="Noto Serif" w:hAnsi="Noto Serif" w:eastAsia="Noto Serif"/>
          <w:b/>
          <w:color w:val="221E17"/>
          <w:sz w:val="30"/>
        </w:rPr>
        <w:t>Exit ticket</w:t>
      </w:r>
    </w:p>
    <w:p>
      <w:pPr>
        <w:keepNext w:val="0"/>
        <w:widowControl/>
        <w:spacing w:before="0" w:after="120"/>
      </w:pPr>
      <w:r>
        <w:rPr>
          <w:rFonts w:ascii="Noto Sans" w:hAnsi="Noto Sans" w:eastAsia="Noto Sans"/>
          <w:b w:val="0"/>
          <w:color w:val="221E17"/>
          <w:sz w:val="22"/>
        </w:rPr>
        <w:t xml:space="preserve">In </w:t>
      </w:r>
      <w:r>
        <w:rPr>
          <w:rFonts w:ascii="Noto Sans" w:hAnsi="Noto Sans" w:eastAsia="Noto Sans"/>
          <w:b/>
          <w:color w:val="221E17"/>
          <w:sz w:val="22"/>
        </w:rPr>
        <w:t>40–60 words</w:t>
      </w:r>
      <w:r>
        <w:rPr>
          <w:rFonts w:ascii="Noto Sans" w:hAnsi="Noto Sans" w:eastAsia="Noto Sans"/>
          <w:b w:val="0"/>
          <w:color w:val="221E17"/>
          <w:sz w:val="22"/>
        </w:rPr>
        <w:t>, explain the difference between having a reason to doubt an account and proving a different account. Use a film example. End with one question the verdict leaves unanswered.</w:t>
      </w:r>
    </w:p>
    <w:p>
      <w:pPr>
        <w:keepNext/>
        <w:widowControl/>
        <w:spacing w:before="0" w:after="20"/>
      </w:pPr>
      <w:r>
        <w:rPr>
          <w:rFonts w:ascii="Noto Sans" w:hAnsi="Noto Sans" w:eastAsia="Noto Sans"/>
          <w:b w:val="0"/>
          <w:color w:val="221E17"/>
          <w:sz w:val="22"/>
        </w:rPr>
        <w:t>My example and conclusion</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20" w:line="400" w:lineRule="exact"/>
        <w:pBdr>
          <w:bottom w:val="single" w:sz="3" w:color="CCC4B4" w:space="0"/>
          <w:between w:val="single" w:sz="3" w:color="CCC4B4" w:space="0"/>
        </w:pBdr>
      </w:pPr>
      <w:r>
        <w:rPr>
          <w:rFonts w:ascii="Noto Sans" w:hAnsi="Noto Sans" w:eastAsia="Noto Sans"/>
          <w:b w:val="0"/>
          <w:color w:val="221E17"/>
          <w:sz w:val="16"/>
        </w:rPr>
        <w:t xml:space="preserve"> </w:t>
      </w:r>
    </w:p>
    <w:p>
      <w:pPr>
        <w:keepNext w:val="0"/>
        <w:widowControl/>
        <w:spacing w:before="0" w:after="0" w:line="80" w:lineRule="exact"/>
      </w:pPr>
      <w:r>
        <w:rPr>
          <w:sz w:val="2"/>
        </w:rPr>
      </w:r>
    </w:p>
    <w:tbl>
      <w:tblPr>
        <w:tblW w:type="auto" w:w="0"/>
        <w:jc w:val="center"/>
        <w:tblLayout w:type="fixed"/>
        <w:tblLook w:firstColumn="1" w:firstRow="1" w:lastColumn="0" w:lastRow="0" w:noHBand="0" w:noVBand="1" w:val="04A0"/>
      </w:tblPr>
      <w:tblGrid>
        <w:gridCol w:w="8520"/>
        <w:gridCol w:w="1800"/>
      </w:tblGrid>
      <w:tr>
        <w:trPr>
          <w:cantSplit/>
        </w:trPr>
        <w:tc>
          <w:tcPr>
            <w:tcW w:type="dxa" w:w="85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100"/>
            </w:pPr>
            <w:r>
              <w:rPr>
                <w:rFonts w:ascii="Noto Sans" w:hAnsi="Noto Sans" w:eastAsia="Noto Sans"/>
                <w:b w:val="0"/>
                <w:color w:val="9E2B22"/>
                <w:sz w:val="17"/>
              </w:rPr>
              <w:t>BEFORE YOU FINISH</w:t>
            </w:r>
          </w:p>
          <w:p>
            <w:pPr>
              <w:keepNext w:val="0"/>
              <w:widowControl/>
              <w:spacing w:before="0" w:after="0"/>
            </w:pPr>
            <w:r>
              <w:rPr>
                <w:rFonts w:ascii="Noto Serif" w:hAnsi="Noto Serif" w:eastAsia="Noto Serif"/>
                <w:b w:val="0"/>
                <w:color w:val="221E17"/>
                <w:sz w:val="23"/>
              </w:rPr>
              <w:t>An alternative explanation is another account that could fit the information. Check that you treat it as a possibility that still needs support.</w:t>
            </w:r>
          </w:p>
        </w:tc>
        <w:tc>
          <w:tcPr>
            <w:tcW w:type="dxa" w:w="18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0"/>
              <w:jc w:val="right"/>
            </w:pPr>
            <w:r>
              <w:drawing>
                <wp:inline xmlns:a="http://schemas.openxmlformats.org/drawingml/2006/main" xmlns:pic="http://schemas.openxmlformats.org/drawingml/2006/picture">
                  <wp:extent cx="1003300" cy="1003300"/>
                  <wp:docPr id="3" name="Picture 3" descr="Momo guide beside a classroom prompt."/>
                  <wp:cNvGraphicFramePr>
                    <a:graphicFrameLocks noChangeAspect="1"/>
                  </wp:cNvGraphicFramePr>
                  <a:graphic>
                    <a:graphicData uri="http://schemas.openxmlformats.org/drawingml/2006/picture">
                      <pic:pic>
                        <pic:nvPicPr>
                          <pic:cNvPr id="0" name="momo-guide-v1.png"/>
                          <pic:cNvPicPr/>
                        </pic:nvPicPr>
                        <pic:blipFill>
                          <a:blip r:embed="rId17"/>
                          <a:stretch>
                            <a:fillRect/>
                          </a:stretch>
                        </pic:blipFill>
                        <pic:spPr>
                          <a:xfrm>
                            <a:off x="0" y="0"/>
                            <a:ext cx="1003300" cy="1003300"/>
                          </a:xfrm>
                          <a:prstGeom prst="rect"/>
                        </pic:spPr>
                      </pic:pic>
                    </a:graphicData>
                  </a:graphic>
                </wp:inline>
              </w:drawing>
            </w:r>
          </w:p>
        </w:tc>
      </w:tr>
    </w:tbl>
    <w:p>
      <w:pPr>
        <w:keepNext w:val="0"/>
        <w:widowControl/>
        <w:spacing w:before="0" w:after="0" w:line="100" w:lineRule="exact"/>
      </w:pPr>
      <w:r>
        <w:rPr>
          <w:sz w:val="2"/>
        </w:rPr>
      </w:r>
    </w:p>
    <w:p>
      <w:pPr>
        <w:sectPr>
          <w:headerReference w:type="default" r:id="rId15"/>
          <w:footerReference w:type="default" r:id="rId16"/>
          <w:pgSz w:w="12240" w:h="15840"/>
          <w:pgMar w:top="920" w:right="960" w:bottom="880" w:left="960" w:header="420" w:footer="460" w:gutter="0"/>
          <w:cols w:space="720"/>
          <w:docGrid w:linePitch="360"/>
        </w:sectPr>
      </w:pPr>
    </w:p>
    <w:p>
      <w:pPr>
        <w:keepNext w:val="0"/>
        <w:widowControl/>
        <w:spacing w:before="0" w:after="160"/>
      </w:pPr>
      <w:r>
        <w:rPr>
          <w:rFonts w:ascii="Noto Sans" w:hAnsi="Noto Sans" w:eastAsia="Noto Sans"/>
          <w:b w:val="0"/>
          <w:color w:val="9E2B22"/>
          <w:sz w:val="16"/>
        </w:rPr>
        <w:t>12 ANGRY MEN  ·  1957     /     PREPARE AND TEACH</w:t>
      </w:r>
    </w:p>
    <w:p>
      <w:pPr>
        <w:pStyle w:val="Title"/>
        <w:keepNext/>
        <w:widowControl/>
        <w:spacing w:before="0" w:after="140"/>
      </w:pPr>
      <w:r>
        <w:rPr>
          <w:rFonts w:ascii="Noto Serif" w:hAnsi="Noto Serif" w:eastAsia="Noto Serif"/>
          <w:b/>
          <w:color w:val="221E17"/>
          <w:sz w:val="56"/>
        </w:rPr>
        <w:t>An argument workshop</w:t>
      </w:r>
    </w:p>
    <w:p>
      <w:pPr>
        <w:keepNext w:val="0"/>
        <w:widowControl/>
        <w:spacing w:before="0" w:after="160"/>
      </w:pPr>
      <w:r>
        <w:rPr>
          <w:rFonts w:ascii="Noto Sans" w:hAnsi="Noto Sans" w:eastAsia="Noto Sans"/>
          <w:b w:val="0"/>
          <w:color w:val="221E17"/>
          <w:sz w:val="21"/>
        </w:rPr>
        <w:t>A 45 minute activity after viewing Sidney Lumet’s 1957 film.</w:t>
      </w:r>
    </w:p>
    <w:p>
      <w:pPr>
        <w:keepNext/>
        <w:widowControl/>
        <w:spacing w:before="200" w:after="100"/>
      </w:pPr>
      <w:r>
        <w:rPr>
          <w:rFonts w:ascii="Noto Serif" w:hAnsi="Noto Serif" w:eastAsia="Noto Serif"/>
          <w:b/>
          <w:color w:val="221E17"/>
          <w:sz w:val="30"/>
        </w:rPr>
        <w:t>Prepare the discussion</w:t>
      </w:r>
    </w:p>
    <w:p>
      <w:pPr>
        <w:keepNext w:val="0"/>
        <w:widowControl/>
        <w:spacing w:before="0" w:after="120"/>
      </w:pPr>
      <w:r>
        <w:rPr>
          <w:rFonts w:ascii="Noto Sans" w:hAnsi="Noto Sans" w:eastAsia="Noto Sans"/>
          <w:b w:val="0"/>
          <w:color w:val="221E17"/>
          <w:sz w:val="21"/>
        </w:rPr>
        <w:t xml:space="preserve">Print </w:t>
      </w:r>
      <w:r>
        <w:rPr>
          <w:rFonts w:ascii="Noto Sans" w:hAnsi="Noto Sans" w:eastAsia="Noto Sans"/>
          <w:b/>
          <w:color w:val="221E17"/>
          <w:sz w:val="21"/>
        </w:rPr>
        <w:t>student pages 1–3</w:t>
      </w:r>
      <w:r>
        <w:rPr>
          <w:rFonts w:ascii="Noto Sans" w:hAnsi="Noto Sans" w:eastAsia="Noto Sans"/>
          <w:b w:val="0"/>
          <w:color w:val="221E17"/>
          <w:sz w:val="21"/>
        </w:rPr>
        <w:t>. Students need prior viewing or their own viewing notes; screening time is additional. Cue the knife discussion and the late glasses discussion in your classroom copy if you will revisit them.</w:t>
      </w:r>
    </w:p>
    <w:p>
      <w:pPr>
        <w:keepNext w:val="0"/>
        <w:widowControl/>
        <w:spacing w:before="0" w:after="120"/>
      </w:pPr>
      <w:r>
        <w:rPr>
          <w:rFonts w:ascii="Noto Sans" w:hAnsi="Noto Sans" w:eastAsia="Noto Sans"/>
          <w:b w:val="0"/>
          <w:color w:val="221E17"/>
          <w:sz w:val="21"/>
        </w:rPr>
        <w:t>The film concerns murder, threatened execution and prejudice. Choose it with your class in mind. This activity examines the film’s arguments, rather than prescribing real jury procedure. Students need not agree about the defendant’s innocence.</w:t>
      </w:r>
    </w:p>
    <w:p>
      <w:pPr>
        <w:keepNext/>
        <w:widowControl/>
        <w:spacing w:before="200" w:after="100"/>
      </w:pPr>
      <w:r>
        <w:rPr>
          <w:rFonts w:ascii="Noto Serif" w:hAnsi="Noto Serif" w:eastAsia="Noto Serif"/>
          <w:b/>
          <w:color w:val="221E17"/>
          <w:sz w:val="30"/>
        </w:rPr>
        <w:t>A 45 minute sequence</w:t>
      </w:r>
    </w:p>
    <w:tbl>
      <w:tblPr>
        <w:tblW w:type="auto" w:w="0"/>
        <w:jc w:val="center"/>
        <w:tblLayout w:type="fixed"/>
        <w:tblLook w:firstColumn="1" w:firstRow="1" w:lastColumn="0" w:lastRow="0" w:noHBand="0" w:noVBand="1" w:val="04A0"/>
      </w:tblPr>
      <w:tblGrid>
        <w:gridCol w:w="1651"/>
        <w:gridCol w:w="8669"/>
      </w:tblGrid>
      <w:tr>
        <w:trPr>
          <w:cantSplit/>
        </w:trPr>
        <w:tc>
          <w:tcPr>
            <w:tcW w:type="dxa" w:w="1651"/>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shd w:fill="F5F1E9"/>
          </w:tcPr>
          <w:p>
            <w:pPr>
              <w:keepNext w:val="0"/>
              <w:widowControl/>
              <w:spacing w:before="0" w:after="0"/>
            </w:pPr>
            <w:r>
              <w:rPr>
                <w:rFonts w:ascii="Noto Sans" w:hAnsi="Noto Sans" w:eastAsia="Noto Sans"/>
                <w:b/>
                <w:color w:val="221E17"/>
                <w:sz w:val="19"/>
              </w:rPr>
              <w:t>Minutes</w:t>
            </w:r>
          </w:p>
        </w:tc>
        <w:tc>
          <w:tcPr>
            <w:tcW w:type="dxa" w:w="8669"/>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shd w:fill="F5F1E9"/>
          </w:tcPr>
          <w:p>
            <w:pPr>
              <w:keepNext w:val="0"/>
              <w:widowControl/>
              <w:spacing w:before="0" w:after="0"/>
            </w:pPr>
            <w:r>
              <w:rPr>
                <w:rFonts w:ascii="Noto Sans" w:hAnsi="Noto Sans" w:eastAsia="Noto Sans"/>
                <w:b/>
                <w:color w:val="221E17"/>
                <w:sz w:val="19"/>
              </w:rPr>
              <w:t>Activity</w:t>
            </w:r>
          </w:p>
        </w:tc>
      </w:tr>
      <w:tr>
        <w:trPr>
          <w:cantSplit/>
        </w:trPr>
        <w:tc>
          <w:tcPr>
            <w:tcW w:type="dxa" w:w="1651"/>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0–5</w:t>
            </w:r>
          </w:p>
        </w:tc>
        <w:tc>
          <w:tcPr>
            <w:tcW w:type="dxa" w:w="8669"/>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Define observation, claim, inference and alternative explanation.</w:t>
            </w:r>
          </w:p>
        </w:tc>
      </w:tr>
      <w:tr>
        <w:trPr>
          <w:cantSplit/>
        </w:trPr>
        <w:tc>
          <w:tcPr>
            <w:tcW w:type="dxa" w:w="1651"/>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5–10</w:t>
            </w:r>
          </w:p>
        </w:tc>
        <w:tc>
          <w:tcPr>
            <w:tcW w:type="dxa" w:w="8669"/>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Sort the three statements on page 1; compare labels.</w:t>
            </w:r>
          </w:p>
        </w:tc>
      </w:tr>
      <w:tr>
        <w:trPr>
          <w:cantSplit/>
        </w:trPr>
        <w:tc>
          <w:tcPr>
            <w:tcW w:type="dxa" w:w="1651"/>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10–20</w:t>
            </w:r>
          </w:p>
        </w:tc>
        <w:tc>
          <w:tcPr>
            <w:tcW w:type="dxa" w:w="8669"/>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Pairs reconstruct the knife argument across pages 1–2. Identify its hidden assumption.</w:t>
            </w:r>
          </w:p>
        </w:tc>
      </w:tr>
      <w:tr>
        <w:trPr>
          <w:cantSplit/>
        </w:trPr>
        <w:tc>
          <w:tcPr>
            <w:tcW w:type="dxa" w:w="1651"/>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20–30</w:t>
            </w:r>
          </w:p>
        </w:tc>
        <w:tc>
          <w:tcPr>
            <w:tcW w:type="dxa" w:w="8669"/>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Trace the eyesight chain on page 2. Test an alternative on page 3.</w:t>
            </w:r>
          </w:p>
        </w:tc>
      </w:tr>
      <w:tr>
        <w:trPr>
          <w:cantSplit/>
        </w:trPr>
        <w:tc>
          <w:tcPr>
            <w:tcW w:type="dxa" w:w="1651"/>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30–40</w:t>
            </w:r>
          </w:p>
        </w:tc>
        <w:tc>
          <w:tcPr>
            <w:tcW w:type="dxa" w:w="8669"/>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Discuss pressure on the jury and a choice in the filmmaking.</w:t>
            </w:r>
          </w:p>
        </w:tc>
      </w:tr>
      <w:tr>
        <w:trPr>
          <w:cantSplit/>
        </w:trPr>
        <w:tc>
          <w:tcPr>
            <w:tcW w:type="dxa" w:w="1651"/>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40–45</w:t>
            </w:r>
          </w:p>
        </w:tc>
        <w:tc>
          <w:tcPr>
            <w:tcW w:type="dxa" w:w="8669"/>
            <w:tcMar>
              <w:top w:w="140" w:type="dxa"/>
              <w:left w:w="140" w:type="dxa"/>
              <w:bottom w:w="140" w:type="dxa"/>
              <w:right w:w="140" w:type="dxa"/>
            </w:tcMar>
            <w:tcBorders>
              <w:top w:val="single" w:sz="4" w:color="CCC4B4"/>
              <w:left w:val="single" w:sz="4" w:color="CCC4B4"/>
              <w:bottom w:val="single" w:sz="4" w:color="CCC4B4"/>
              <w:right w:val="single" w:sz="4" w:color="CCC4B4"/>
            </w:tcBorders>
            <w:vAlign w:val="center"/>
          </w:tcPr>
          <w:p>
            <w:pPr>
              <w:keepNext w:val="0"/>
              <w:widowControl/>
              <w:spacing w:before="0" w:after="0"/>
            </w:pPr>
            <w:r>
              <w:rPr>
                <w:rFonts w:ascii="Noto Sans" w:hAnsi="Noto Sans" w:eastAsia="Noto Sans"/>
                <w:b w:val="0"/>
                <w:color w:val="221E17"/>
                <w:sz w:val="19"/>
              </w:rPr>
              <w:t>Write the exit ticket on page 3.</w:t>
            </w:r>
          </w:p>
        </w:tc>
      </w:tr>
    </w:tbl>
    <w:p>
      <w:pPr>
        <w:keepNext w:val="0"/>
        <w:widowControl/>
        <w:spacing w:before="0" w:after="0" w:line="120" w:lineRule="exact"/>
      </w:pPr>
      <w:r>
        <w:rPr>
          <w:sz w:val="2"/>
        </w:rPr>
      </w:r>
    </w:p>
    <w:p>
      <w:pPr>
        <w:keepNext/>
        <w:widowControl/>
        <w:spacing w:before="200" w:after="100"/>
      </w:pPr>
      <w:r>
        <w:rPr>
          <w:rFonts w:ascii="Noto Serif" w:hAnsi="Noto Serif" w:eastAsia="Noto Serif"/>
          <w:b/>
          <w:color w:val="221E17"/>
          <w:sz w:val="30"/>
        </w:rPr>
        <w:t>The knife argument</w:t>
      </w:r>
    </w:p>
    <w:p>
      <w:pPr>
        <w:keepNext w:val="0"/>
        <w:widowControl/>
        <w:spacing w:before="0" w:after="120"/>
      </w:pPr>
      <w:r>
        <w:rPr>
          <w:rFonts w:ascii="Noto Sans" w:hAnsi="Noto Sans" w:eastAsia="Noto Sans"/>
          <w:b w:val="0"/>
          <w:color w:val="221E17"/>
          <w:sz w:val="21"/>
        </w:rPr>
        <w:t xml:space="preserve">The intended labels are </w:t>
      </w:r>
      <w:r>
        <w:rPr>
          <w:rFonts w:ascii="Noto Sans" w:hAnsi="Noto Sans" w:eastAsia="Noto Sans"/>
          <w:b/>
          <w:color w:val="221E17"/>
          <w:sz w:val="21"/>
        </w:rPr>
        <w:t>C, I, O</w:t>
      </w:r>
      <w:r>
        <w:rPr>
          <w:rFonts w:ascii="Noto Sans" w:hAnsi="Noto Sans" w:eastAsia="Noto Sans"/>
          <w:b w:val="0"/>
          <w:color w:val="221E17"/>
          <w:sz w:val="21"/>
        </w:rPr>
        <w:t>. The shopkeeper’s identification is reported; students do not witness the sale. Producing the second knife is visible in the jury room. The layers matter more than the letters.</w:t>
      </w:r>
    </w:p>
    <w:p>
      <w:pPr>
        <w:keepNext w:val="0"/>
        <w:widowControl/>
        <w:spacing w:before="0" w:after="120"/>
      </w:pPr>
      <w:r>
        <w:rPr>
          <w:rFonts w:ascii="Noto Sans" w:hAnsi="Noto Sans" w:eastAsia="Noto Sans"/>
          <w:b w:val="0"/>
          <w:color w:val="221E17"/>
          <w:sz w:val="21"/>
        </w:rPr>
        <w:t>“Must” overstates what resemblance establishes. Matching appearance suggests a connection, not a particular user. The second knife challenges uniqueness; it neither identifies the murderer nor rules out the defendant. [1]</w:t>
      </w:r>
    </w:p>
    <w:tbl>
      <w:tblPr>
        <w:tblW w:type="auto" w:w="0"/>
        <w:jc w:val="center"/>
        <w:tblLayout w:type="fixed"/>
        <w:tblLook w:firstColumn="1" w:firstRow="1" w:lastColumn="0" w:lastRow="0" w:noHBand="0" w:noVBand="1" w:val="04A0"/>
      </w:tblPr>
      <w:tblGrid>
        <w:gridCol w:w="8520"/>
        <w:gridCol w:w="1800"/>
      </w:tblGrid>
      <w:tr>
        <w:trPr>
          <w:cantSplit/>
        </w:trPr>
        <w:tc>
          <w:tcPr>
            <w:tcW w:type="dxa" w:w="85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100"/>
            </w:pPr>
            <w:r>
              <w:rPr>
                <w:rFonts w:ascii="Noto Sans" w:hAnsi="Noto Sans" w:eastAsia="Noto Sans"/>
                <w:b w:val="0"/>
                <w:color w:val="9E2B22"/>
                <w:sz w:val="17"/>
              </w:rPr>
              <w:t>ASK THE CLASS</w:t>
            </w:r>
          </w:p>
          <w:p>
            <w:pPr>
              <w:keepNext w:val="0"/>
              <w:widowControl/>
              <w:spacing w:before="0" w:after="0"/>
            </w:pPr>
            <w:r>
              <w:rPr>
                <w:rFonts w:ascii="Noto Serif" w:hAnsi="Noto Serif" w:eastAsia="Noto Serif"/>
                <w:b w:val="0"/>
                <w:color w:val="221E17"/>
                <w:sz w:val="22"/>
              </w:rPr>
              <w:t>If an explanation is possible, is it therefore established? Name information that could distinguish the competing accounts.</w:t>
            </w:r>
          </w:p>
        </w:tc>
        <w:tc>
          <w:tcPr>
            <w:tcW w:type="dxa" w:w="18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0"/>
              <w:jc w:val="right"/>
            </w:pPr>
            <w:r>
              <w:drawing>
                <wp:inline xmlns:a="http://schemas.openxmlformats.org/drawingml/2006/main" xmlns:pic="http://schemas.openxmlformats.org/drawingml/2006/picture">
                  <wp:extent cx="1003300" cy="1003300"/>
                  <wp:docPr id="4" name="Picture 4" descr="Momo thinking beside a classroom prompt."/>
                  <wp:cNvGraphicFramePr>
                    <a:graphicFrameLocks noChangeAspect="1"/>
                  </wp:cNvGraphicFramePr>
                  <a:graphic>
                    <a:graphicData uri="http://schemas.openxmlformats.org/drawingml/2006/picture">
                      <pic:pic>
                        <pic:nvPicPr>
                          <pic:cNvPr id="0" name="momo-thinking-v3.png"/>
                          <pic:cNvPicPr/>
                        </pic:nvPicPr>
                        <pic:blipFill>
                          <a:blip r:embed="rId11"/>
                          <a:stretch>
                            <a:fillRect/>
                          </a:stretch>
                        </pic:blipFill>
                        <pic:spPr>
                          <a:xfrm>
                            <a:off x="0" y="0"/>
                            <a:ext cx="1003300" cy="1003300"/>
                          </a:xfrm>
                          <a:prstGeom prst="rect"/>
                        </pic:spPr>
                      </pic:pic>
                    </a:graphicData>
                  </a:graphic>
                </wp:inline>
              </w:drawing>
            </w:r>
          </w:p>
        </w:tc>
      </w:tr>
    </w:tbl>
    <w:p>
      <w:pPr>
        <w:keepNext w:val="0"/>
        <w:widowControl/>
        <w:spacing w:before="0" w:after="0" w:line="100" w:lineRule="exact"/>
      </w:pPr>
      <w:r>
        <w:rPr>
          <w:sz w:val="2"/>
        </w:rPr>
      </w:r>
    </w:p>
    <w:p>
      <w:pPr>
        <w:sectPr>
          <w:headerReference w:type="default" r:id="rId18"/>
          <w:footerReference w:type="default" r:id="rId19"/>
          <w:pgSz w:w="12240" w:h="15840"/>
          <w:pgMar w:top="920" w:right="960" w:bottom="880" w:left="960" w:header="420" w:footer="460" w:gutter="0"/>
          <w:cols w:space="720"/>
          <w:docGrid w:linePitch="360"/>
        </w:sectPr>
      </w:pPr>
    </w:p>
    <w:p>
      <w:pPr>
        <w:keepNext w:val="0"/>
        <w:widowControl/>
        <w:spacing w:before="0" w:after="160"/>
      </w:pPr>
      <w:r>
        <w:rPr>
          <w:rFonts w:ascii="Noto Sans" w:hAnsi="Noto Sans" w:eastAsia="Noto Sans"/>
          <w:b w:val="0"/>
          <w:color w:val="9E2B22"/>
          <w:sz w:val="16"/>
        </w:rPr>
        <w:t>12 ANGRY MEN  ·  1957     /     DISCUSS AND RESPOND</w:t>
      </w:r>
    </w:p>
    <w:p>
      <w:pPr>
        <w:pStyle w:val="Title"/>
        <w:keepNext/>
        <w:widowControl/>
        <w:spacing w:before="0" w:after="140"/>
      </w:pPr>
      <w:r>
        <w:rPr>
          <w:rFonts w:ascii="Noto Serif" w:hAnsi="Noto Serif" w:eastAsia="Noto Serif"/>
          <w:b/>
          <w:color w:val="221E17"/>
          <w:sz w:val="56"/>
        </w:rPr>
        <w:t>Discuss the gap</w:t>
      </w:r>
    </w:p>
    <w:p>
      <w:pPr>
        <w:keepNext/>
        <w:widowControl/>
        <w:spacing w:before="200" w:after="100"/>
      </w:pPr>
      <w:r>
        <w:rPr>
          <w:rFonts w:ascii="Noto Serif" w:hAnsi="Noto Serif" w:eastAsia="Noto Serif"/>
          <w:b/>
          <w:color w:val="221E17"/>
          <w:sz w:val="30"/>
        </w:rPr>
        <w:t>The eyesight argument</w:t>
      </w:r>
    </w:p>
    <w:p>
      <w:pPr>
        <w:keepNext w:val="0"/>
        <w:widowControl/>
        <w:spacing w:before="0" w:after="120"/>
      </w:pPr>
      <w:r>
        <w:rPr>
          <w:rFonts w:ascii="Noto Sans" w:hAnsi="Noto Sans" w:eastAsia="Noto Sans"/>
          <w:b w:val="0"/>
          <w:color w:val="221E17"/>
          <w:sz w:val="21"/>
        </w:rPr>
        <w:t>Separate the remembered marks, the inference about glasses, and the inference about visibility. Ask about the witness’s vision, the conditions and what she recognised. The jurors have not directly established all these things. [1]</w:t>
      </w:r>
    </w:p>
    <w:p>
      <w:pPr>
        <w:keepNext w:val="0"/>
        <w:widowControl/>
        <w:spacing w:before="0" w:after="120"/>
      </w:pPr>
      <w:r>
        <w:rPr>
          <w:rFonts w:ascii="Noto Sans" w:hAnsi="Noto Sans" w:eastAsia="Noto Sans"/>
          <w:b w:val="0"/>
          <w:color w:val="221E17"/>
          <w:sz w:val="21"/>
        </w:rPr>
        <w:t>Mistaken identification without deliberate lying is one possible alternative. Ask what would support it. An invented possibility does not become a fact because it favours the defendant.</w:t>
      </w:r>
    </w:p>
    <w:p>
      <w:pPr>
        <w:keepNext/>
        <w:widowControl/>
        <w:spacing w:before="200" w:after="100"/>
      </w:pPr>
      <w:r>
        <w:rPr>
          <w:rFonts w:ascii="Noto Serif" w:hAnsi="Noto Serif" w:eastAsia="Noto Serif"/>
          <w:b/>
          <w:color w:val="221E17"/>
          <w:sz w:val="30"/>
        </w:rPr>
        <w:t>Prejudice and persuasion</w:t>
      </w:r>
    </w:p>
    <w:p>
      <w:pPr>
        <w:keepNext w:val="0"/>
        <w:widowControl/>
        <w:spacing w:before="0" w:after="120"/>
      </w:pPr>
      <w:r>
        <w:rPr>
          <w:rFonts w:ascii="Noto Sans" w:hAnsi="Noto Sans" w:eastAsia="Noto Sans"/>
          <w:b w:val="0"/>
          <w:color w:val="221E17"/>
          <w:sz w:val="21"/>
        </w:rPr>
        <w:t>Accept different moments when the action is accurately described. Separate the action from an account of a juror’s motive. Bias can expose a weak argument without independently settling the case.</w:t>
      </w:r>
    </w:p>
    <w:tbl>
      <w:tblPr>
        <w:tblW w:type="auto" w:w="0"/>
        <w:jc w:val="center"/>
        <w:tblLayout w:type="fixed"/>
        <w:tblLook w:firstColumn="1" w:firstRow="1" w:lastColumn="0" w:lastRow="0" w:noHBand="0" w:noVBand="1" w:val="04A0"/>
      </w:tblPr>
      <w:tblGrid>
        <w:gridCol w:w="8520"/>
        <w:gridCol w:w="1800"/>
      </w:tblGrid>
      <w:tr>
        <w:trPr>
          <w:cantSplit/>
        </w:trPr>
        <w:tc>
          <w:tcPr>
            <w:tcW w:type="dxa" w:w="852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100"/>
            </w:pPr>
            <w:r>
              <w:rPr>
                <w:rFonts w:ascii="Noto Sans" w:hAnsi="Noto Sans" w:eastAsia="Noto Sans"/>
                <w:b w:val="0"/>
                <w:color w:val="9E2B22"/>
                <w:sz w:val="17"/>
              </w:rPr>
              <w:t>ONE SHOT TWO JOBS</w:t>
            </w:r>
          </w:p>
          <w:p>
            <w:pPr>
              <w:keepNext w:val="0"/>
              <w:widowControl/>
              <w:spacing w:before="0" w:after="0"/>
            </w:pPr>
            <w:r>
              <w:rPr>
                <w:rFonts w:ascii="Noto Serif" w:hAnsi="Noto Serif" w:eastAsia="Noto Serif"/>
                <w:b w:val="0"/>
                <w:color w:val="221E17"/>
                <w:sz w:val="22"/>
              </w:rPr>
              <w:t>Recall a close-up, reaction or movement. What does it invite you to feel? Does that feeling add information, or change how you receive an argument?</w:t>
            </w:r>
          </w:p>
        </w:tc>
        <w:tc>
          <w:tcPr>
            <w:tcW w:type="dxa" w:w="1800"/>
            <w:tcMar>
              <w:top w:w="140" w:type="dxa"/>
              <w:left w:w="140" w:type="dxa"/>
              <w:bottom w:w="140" w:type="dxa"/>
              <w:right w:w="140" w:type="dxa"/>
            </w:tcMar>
            <w:tcBorders>
              <w:top w:val="nil" w:sz="4" w:color="CCC4B4"/>
              <w:left w:val="nil" w:sz="4" w:color="CCC4B4"/>
              <w:bottom w:val="nil" w:sz="4" w:color="CCC4B4"/>
              <w:right w:val="nil" w:sz="4" w:color="CCC4B4"/>
            </w:tcBorders>
            <w:vAlign w:val="center"/>
            <w:tcMar>
              <w:top w:w="0" w:type="dxa"/>
              <w:left w:w="0" w:type="dxa"/>
              <w:bottom w:w="0" w:type="dxa"/>
              <w:right w:w="0" w:type="dxa"/>
            </w:tcMar>
          </w:tcPr>
          <w:p>
            <w:pPr>
              <w:keepNext w:val="0"/>
              <w:widowControl/>
              <w:spacing w:before="0" w:after="0"/>
              <w:jc w:val="right"/>
            </w:pPr>
            <w:r>
              <w:drawing>
                <wp:inline xmlns:a="http://schemas.openxmlformats.org/drawingml/2006/main" xmlns:pic="http://schemas.openxmlformats.org/drawingml/2006/picture">
                  <wp:extent cx="1003300" cy="1003300"/>
                  <wp:docPr id="5" name="Picture 5" descr="Momo research beside a classroom prompt."/>
                  <wp:cNvGraphicFramePr>
                    <a:graphicFrameLocks noChangeAspect="1"/>
                  </wp:cNvGraphicFramePr>
                  <a:graphic>
                    <a:graphicData uri="http://schemas.openxmlformats.org/drawingml/2006/picture">
                      <pic:pic>
                        <pic:nvPicPr>
                          <pic:cNvPr id="0" name="momo-research-v1.png"/>
                          <pic:cNvPicPr/>
                        </pic:nvPicPr>
                        <pic:blipFill>
                          <a:blip r:embed="rId14"/>
                          <a:stretch>
                            <a:fillRect/>
                          </a:stretch>
                        </pic:blipFill>
                        <pic:spPr>
                          <a:xfrm>
                            <a:off x="0" y="0"/>
                            <a:ext cx="1003300" cy="1003300"/>
                          </a:xfrm>
                          <a:prstGeom prst="rect"/>
                        </pic:spPr>
                      </pic:pic>
                    </a:graphicData>
                  </a:graphic>
                </wp:inline>
              </w:drawing>
            </w:r>
          </w:p>
        </w:tc>
      </w:tr>
    </w:tbl>
    <w:p>
      <w:pPr>
        <w:keepNext w:val="0"/>
        <w:widowControl/>
        <w:spacing w:before="0" w:after="0" w:line="100" w:lineRule="exact"/>
      </w:pPr>
      <w:r>
        <w:rPr>
          <w:sz w:val="2"/>
        </w:rPr>
      </w:r>
    </w:p>
    <w:p>
      <w:pPr>
        <w:keepNext/>
        <w:widowControl/>
        <w:spacing w:before="200" w:after="100"/>
      </w:pPr>
      <w:r>
        <w:rPr>
          <w:rFonts w:ascii="Noto Serif" w:hAnsi="Noto Serif" w:eastAsia="Noto Serif"/>
          <w:b/>
          <w:color w:val="221E17"/>
          <w:sz w:val="30"/>
        </w:rPr>
        <w:t>Read exit tickets for these four things</w:t>
      </w:r>
    </w:p>
    <w:p>
      <w:pPr>
        <w:keepNext w:val="0"/>
        <w:widowControl/>
        <w:spacing w:before="0" w:after="120"/>
      </w:pPr>
      <w:r>
        <w:rPr>
          <w:rFonts w:ascii="Noto Sans" w:hAnsi="Noto Sans" w:eastAsia="Noto Sans"/>
          <w:b w:val="0"/>
          <w:color w:val="221E17"/>
          <w:sz w:val="21"/>
        </w:rPr>
      </w:r>
      <w:r>
        <w:rPr>
          <w:rFonts w:ascii="Noto Sans" w:hAnsi="Noto Sans" w:eastAsia="Noto Sans"/>
          <w:b/>
          <w:color w:val="221E17"/>
          <w:sz w:val="21"/>
        </w:rPr>
        <w:t>Evidence:</w:t>
      </w:r>
      <w:r>
        <w:rPr>
          <w:rFonts w:ascii="Noto Sans" w:hAnsi="Noto Sans" w:eastAsia="Noto Sans"/>
          <w:b w:val="0"/>
          <w:color w:val="221E17"/>
          <w:sz w:val="21"/>
        </w:rPr>
        <w:t xml:space="preserve"> a concrete example and its speaker or observer.</w:t>
        <w:br/>
      </w:r>
      <w:r>
        <w:rPr>
          <w:rFonts w:ascii="Noto Sans" w:hAnsi="Noto Sans" w:eastAsia="Noto Sans"/>
          <w:b/>
          <w:color w:val="221E17"/>
          <w:sz w:val="21"/>
        </w:rPr>
        <w:t>Assumption:</w:t>
      </w:r>
      <w:r>
        <w:rPr>
          <w:rFonts w:ascii="Noto Sans" w:hAnsi="Noto Sans" w:eastAsia="Noto Sans"/>
          <w:b w:val="0"/>
          <w:color w:val="221E17"/>
          <w:sz w:val="21"/>
        </w:rPr>
        <w:t xml:space="preserve"> the link from information to a conclusion.</w:t>
        <w:br/>
      </w:r>
      <w:r>
        <w:rPr>
          <w:rFonts w:ascii="Noto Sans" w:hAnsi="Noto Sans" w:eastAsia="Noto Sans"/>
          <w:b/>
          <w:color w:val="221E17"/>
          <w:sz w:val="21"/>
        </w:rPr>
        <w:t>Alternative:</w:t>
      </w:r>
      <w:r>
        <w:rPr>
          <w:rFonts w:ascii="Noto Sans" w:hAnsi="Noto Sans" w:eastAsia="Noto Sans"/>
          <w:b w:val="0"/>
          <w:color w:val="221E17"/>
          <w:sz w:val="21"/>
        </w:rPr>
        <w:t xml:space="preserve"> a possibility to examine.</w:t>
        <w:br/>
      </w:r>
      <w:r>
        <w:rPr>
          <w:rFonts w:ascii="Noto Sans" w:hAnsi="Noto Sans" w:eastAsia="Noto Sans"/>
          <w:b/>
          <w:color w:val="221E17"/>
          <w:sz w:val="21"/>
        </w:rPr>
        <w:t>Limit:</w:t>
      </w:r>
      <w:r>
        <w:rPr>
          <w:rFonts w:ascii="Noto Sans" w:hAnsi="Noto Sans" w:eastAsia="Noto Sans"/>
          <w:b w:val="0"/>
          <w:color w:val="221E17"/>
          <w:sz w:val="21"/>
        </w:rPr>
        <w:t xml:space="preserve"> something the argument or verdict leaves unresolved.</w:t>
      </w:r>
    </w:p>
    <w:p>
      <w:pPr>
        <w:keepNext w:val="0"/>
        <w:widowControl/>
        <w:spacing w:before="0" w:after="120"/>
      </w:pPr>
      <w:r>
        <w:rPr>
          <w:rFonts w:ascii="Noto Sans" w:hAnsi="Noto Sans" w:eastAsia="Noto Sans"/>
          <w:b w:val="0"/>
          <w:color w:val="221E17"/>
          <w:sz w:val="21"/>
        </w:rPr>
        <w:t>Reward reasoned revision. A student can replace “proves” or “definitely” with a more precise statement and explain why. The final “not guilty” verdict does not establish a complete account of the murder; Rosenbaum also stresses that Juror 8 does not know whether the defendant is innocent. [2]</w:t>
      </w:r>
    </w:p>
    <w:p>
      <w:pPr>
        <w:keepNext/>
        <w:widowControl/>
        <w:spacing w:before="200" w:after="100"/>
      </w:pPr>
      <w:r>
        <w:rPr>
          <w:rFonts w:ascii="Noto Serif" w:hAnsi="Noto Serif" w:eastAsia="Noto Serif"/>
          <w:b/>
          <w:color w:val="221E17"/>
          <w:sz w:val="30"/>
        </w:rPr>
        <w:t>Sources and classroom use</w:t>
      </w:r>
    </w:p>
    <w:p>
      <w:pPr>
        <w:keepNext w:val="0"/>
        <w:widowControl/>
        <w:spacing w:before="0" w:after="80"/>
      </w:pPr>
      <w:hyperlink r:id="rId22">
        <w:r>
          <w:rPr>
            <w:rFonts w:ascii="Noto Sans" w:hAnsi="Noto Sans"/>
            <w:color w:val="221E17"/>
            <w:sz w:val="17"/>
            <w:u w:val="single"/>
          </w:rPr>
          <w:t>1  AFI Catalog — 12 Angry Men (1957), synopsis</w:t>
        </w:r>
      </w:hyperlink>
    </w:p>
    <w:p>
      <w:pPr>
        <w:keepNext w:val="0"/>
        <w:widowControl/>
        <w:spacing w:before="0" w:after="80"/>
      </w:pPr>
      <w:hyperlink r:id="rId23">
        <w:r>
          <w:rPr>
            <w:rFonts w:ascii="Noto Sans" w:hAnsi="Noto Sans"/>
            <w:color w:val="221E17"/>
            <w:sz w:val="17"/>
            <w:u w:val="single"/>
          </w:rPr>
          <w:t>2  Thane Rosenbaum — Lumet’s Faces, Criterion (2011)</w:t>
        </w:r>
      </w:hyperlink>
    </w:p>
    <w:p>
      <w:pPr>
        <w:keepNext w:val="0"/>
        <w:widowControl/>
        <w:spacing w:before="0" w:after="100"/>
      </w:pPr>
      <w:r>
        <w:rPr>
          <w:rFonts w:ascii="Noto Sans" w:hAnsi="Noto Sans" w:eastAsia="Noto Sans"/>
          <w:b w:val="0"/>
          <w:color w:val="6E6656"/>
          <w:sz w:val="17"/>
        </w:rPr>
        <w:t>Original activities by Monocurator, September 2026. Free to print and adapt this kit, including Momo, for your classes. Keep the Monocurator link. Film access and screening permission are separate.</w:t>
      </w:r>
    </w:p>
    <w:sectPr w:rsidR="00FC693F" w:rsidRPr="0006063C" w:rsidSect="00034616">
      <w:headerReference w:type="default" r:id="rId20"/>
      <w:footerReference w:type="default" r:id="rId21"/>
      <w:pgSz w:w="12240" w:h="15840"/>
      <w:pgMar w:top="920" w:right="960" w:bottom="880" w:left="960" w:header="420" w:footer="4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tabs>
        <w:tab w:pos="10320" w:val="right"/>
      </w:tabs>
      <w:spacing w:before="0" w:after="0"/>
    </w:pPr>
    <w:r>
      <w:rPr>
        <w:rFonts w:ascii="Noto Sans" w:hAnsi="Noto Sans" w:eastAsia="Noto Sans"/>
        <w:b w:val="0"/>
        <w:color w:val="6E6656"/>
        <w:sz w:val="16"/>
      </w:rPr>
      <w:t>monocurator.com/12-angry-men-worksheet/</w:t>
    </w:r>
    <w:r>
      <w:rPr>
        <w:rFonts w:ascii="Noto Sans" w:hAnsi="Noto Sans" w:eastAsia="Noto Sans"/>
        <w:b/>
        <w:color w:val="9E2B22"/>
        <w:sz w:val="16"/>
      </w:rPr>
      <w:tab/>
      <w:t>STUDENT  1 / 3</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tabs>
        <w:tab w:pos="10320" w:val="right"/>
      </w:tabs>
      <w:spacing w:before="0" w:after="0"/>
    </w:pPr>
    <w:r>
      <w:rPr>
        <w:rFonts w:ascii="Noto Sans" w:hAnsi="Noto Sans" w:eastAsia="Noto Sans"/>
        <w:b w:val="0"/>
        <w:color w:val="6E6656"/>
        <w:sz w:val="16"/>
      </w:rPr>
      <w:t>monocurator.com/12-angry-men-worksheet/</w:t>
    </w:r>
    <w:r>
      <w:rPr>
        <w:rFonts w:ascii="Noto Sans" w:hAnsi="Noto Sans" w:eastAsia="Noto Sans"/>
        <w:b/>
        <w:color w:val="9E2B22"/>
        <w:sz w:val="16"/>
      </w:rPr>
      <w:tab/>
      <w:t>STUDENT  2 / 3</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tabs>
        <w:tab w:pos="10320" w:val="right"/>
      </w:tabs>
      <w:spacing w:before="0" w:after="0"/>
    </w:pPr>
    <w:r>
      <w:rPr>
        <w:rFonts w:ascii="Noto Sans" w:hAnsi="Noto Sans" w:eastAsia="Noto Sans"/>
        <w:b w:val="0"/>
        <w:color w:val="6E6656"/>
        <w:sz w:val="16"/>
      </w:rPr>
      <w:t>monocurator.com/12-angry-men-worksheet/</w:t>
    </w:r>
    <w:r>
      <w:rPr>
        <w:rFonts w:ascii="Noto Sans" w:hAnsi="Noto Sans" w:eastAsia="Noto Sans"/>
        <w:b/>
        <w:color w:val="9E2B22"/>
        <w:sz w:val="16"/>
      </w:rPr>
      <w:tab/>
      <w:t>STUDENT  3 / 3</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tabs>
        <w:tab w:pos="10320" w:val="right"/>
      </w:tabs>
      <w:spacing w:before="0" w:after="0"/>
    </w:pPr>
    <w:r>
      <w:rPr>
        <w:rFonts w:ascii="Noto Sans" w:hAnsi="Noto Sans" w:eastAsia="Noto Sans"/>
        <w:b w:val="0"/>
        <w:color w:val="6E6656"/>
        <w:sz w:val="16"/>
      </w:rPr>
      <w:t>monocurator.com/12-angry-men-worksheet/</w:t>
    </w:r>
    <w:r>
      <w:rPr>
        <w:rFonts w:ascii="Noto Sans" w:hAnsi="Noto Sans" w:eastAsia="Noto Sans"/>
        <w:b/>
        <w:color w:val="9E2B22"/>
        <w:sz w:val="16"/>
      </w:rPr>
      <w:tab/>
      <w:t>TEACHER  1 / 2</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tabs>
        <w:tab w:pos="10320" w:val="right"/>
      </w:tabs>
      <w:spacing w:before="0" w:after="0"/>
    </w:pPr>
    <w:r>
      <w:rPr>
        <w:rFonts w:ascii="Noto Sans" w:hAnsi="Noto Sans" w:eastAsia="Noto Sans"/>
        <w:b w:val="0"/>
        <w:color w:val="6E6656"/>
        <w:sz w:val="16"/>
      </w:rPr>
      <w:t>monocurator.com/12-angry-men-worksheet/</w:t>
    </w:r>
    <w:r>
      <w:rPr>
        <w:rFonts w:ascii="Noto Sans" w:hAnsi="Noto Sans" w:eastAsia="Noto Sans"/>
        <w:b/>
        <w:color w:val="9E2B22"/>
        <w:sz w:val="16"/>
      </w:rPr>
      <w:tab/>
      <w:t>TEACHER  2 /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spacing w:before="0" w:after="0"/>
    </w:pPr>
    <w:r>
      <w:rPr>
        <w:rFonts w:ascii="Noto Sans" w:hAnsi="Noto Sans" w:eastAsia="Noto Sans"/>
        <w:b/>
        <w:color w:val="221E17"/>
        <w:sz w:val="17"/>
      </w:rPr>
      <w:t>MONOCURATOR</w:t>
    </w:r>
    <w:r>
      <w:rPr>
        <w:rFonts w:ascii="Noto Sans" w:hAnsi="Noto Sans" w:eastAsia="Noto Sans"/>
        <w:b w:val="0"/>
        <w:color w:val="6E6656"/>
        <w:sz w:val="17"/>
      </w:rPr>
      <w:t xml:space="preserve">    /    FILM CLASSROOM</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spacing w:before="0" w:after="0"/>
    </w:pPr>
    <w:r>
      <w:rPr>
        <w:rFonts w:ascii="Noto Sans" w:hAnsi="Noto Sans" w:eastAsia="Noto Sans"/>
        <w:b/>
        <w:color w:val="221E17"/>
        <w:sz w:val="17"/>
      </w:rPr>
      <w:t>MONOCURATOR</w:t>
    </w:r>
    <w:r>
      <w:rPr>
        <w:rFonts w:ascii="Noto Sans" w:hAnsi="Noto Sans" w:eastAsia="Noto Sans"/>
        <w:b w:val="0"/>
        <w:color w:val="6E6656"/>
        <w:sz w:val="17"/>
      </w:rPr>
      <w:t xml:space="preserve">    /    FILM CLASSROOM</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spacing w:before="0" w:after="0"/>
    </w:pPr>
    <w:r>
      <w:rPr>
        <w:rFonts w:ascii="Noto Sans" w:hAnsi="Noto Sans" w:eastAsia="Noto Sans"/>
        <w:b/>
        <w:color w:val="221E17"/>
        <w:sz w:val="17"/>
      </w:rPr>
      <w:t>MONOCURATOR</w:t>
    </w:r>
    <w:r>
      <w:rPr>
        <w:rFonts w:ascii="Noto Sans" w:hAnsi="Noto Sans" w:eastAsia="Noto Sans"/>
        <w:b w:val="0"/>
        <w:color w:val="6E6656"/>
        <w:sz w:val="17"/>
      </w:rPr>
      <w:t xml:space="preserve">    /    FILM CLASSROOM</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spacing w:before="0" w:after="0"/>
    </w:pPr>
    <w:r>
      <w:rPr>
        <w:rFonts w:ascii="Noto Sans" w:hAnsi="Noto Sans" w:eastAsia="Noto Sans"/>
        <w:b/>
        <w:color w:val="221E17"/>
        <w:sz w:val="17"/>
      </w:rPr>
      <w:t>MONOCURATOR</w:t>
    </w:r>
    <w:r>
      <w:rPr>
        <w:rFonts w:ascii="Noto Sans" w:hAnsi="Noto Sans" w:eastAsia="Noto Sans"/>
        <w:b w:val="0"/>
        <w:color w:val="6E6656"/>
        <w:sz w:val="17"/>
      </w:rPr>
      <w:t xml:space="preserve">    /    FILM CLASSROOM</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spacing w:before="0" w:after="0"/>
    </w:pPr>
    <w:r>
      <w:rPr>
        <w:rFonts w:ascii="Noto Sans" w:hAnsi="Noto Sans" w:eastAsia="Noto Sans"/>
        <w:b/>
        <w:color w:val="221E17"/>
        <w:sz w:val="17"/>
      </w:rPr>
      <w:t>MONOCURATOR</w:t>
    </w:r>
    <w:r>
      <w:rPr>
        <w:rFonts w:ascii="Noto Sans" w:hAnsi="Noto Sans" w:eastAsia="Noto Sans"/>
        <w:b w:val="0"/>
        <w:color w:val="6E6656"/>
        <w:sz w:val="17"/>
      </w:rPr>
      <w:t xml:space="preserve">    /    FILM CLASSROOM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ans" w:hAnsi="Noto Sans"/>
      <w:color w:val="221E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Noto Serif" w:hAnsi="Noto Serif"/>
      <w:b/>
      <w:bCs/>
      <w:color w:val="221E17"/>
      <w:sz w:val="28"/>
      <w:szCs w:val="28"/>
    </w:rPr>
  </w:style>
  <w:style w:type="paragraph" w:styleId="Heading2">
    <w:name w:val="heading 2"/>
    <w:basedOn w:val="Normal"/>
    <w:next w:val="Normal"/>
    <w:link w:val="Heading2Char"/>
    <w:uiPriority w:val="9"/>
    <w:unhideWhenUsed/>
    <w:qFormat/>
    <w:rsid w:val="00FC693F"/>
    <w:pPr>
      <w:keepNext/>
      <w:keepLines/>
      <w:spacing w:before="0" w:after="120"/>
      <w:outlineLvl w:val="1"/>
    </w:pPr>
    <w:rPr>
      <w:rFonts w:asciiTheme="majorHAnsi" w:eastAsiaTheme="majorEastAsia" w:hAnsiTheme="majorHAnsi" w:cstheme="majorBidi" w:ascii="Noto Serif" w:hAnsi="Noto Serif"/>
      <w:b/>
      <w:bCs/>
      <w:color w:val="221E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Noto Serif" w:hAnsi="Noto Serif"/>
      <w:b/>
      <w:color w:val="221E1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image" Target="media/image3.png"/><Relationship Id="rId18" Type="http://schemas.openxmlformats.org/officeDocument/2006/relationships/header" Target="header4.xml"/><Relationship Id="rId19" Type="http://schemas.openxmlformats.org/officeDocument/2006/relationships/footer" Target="footer4.xml"/><Relationship Id="rId20" Type="http://schemas.openxmlformats.org/officeDocument/2006/relationships/header" Target="header5.xml"/><Relationship Id="rId21" Type="http://schemas.openxmlformats.org/officeDocument/2006/relationships/footer" Target="footer5.xml"/><Relationship Id="rId22" Type="http://schemas.openxmlformats.org/officeDocument/2006/relationships/hyperlink" Target="https://catalog.afi.com/Catalog/moviedetails/53690" TargetMode="External"/><Relationship Id="rId23" Type="http://schemas.openxmlformats.org/officeDocument/2006/relationships/hyperlink" Target="https://www.criterion.com/current/posts/2076-12-angry-men-lumet-s-f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Angry Men classroom kit</dc:title>
  <dc:subject>Free classroom activities and teacher notes</dc:subject>
  <dc:creator>Monocurator</dc:creator>
  <cp:keywords/>
  <dc:description>generated by python-docx</dc:description>
  <cp:lastModifiedBy/>
  <cp:revision>1</cp:revision>
  <dcterms:created xsi:type="dcterms:W3CDTF">2013-12-23T23:15:00Z</dcterms:created>
  <dcterms:modified xsi:type="dcterms:W3CDTF">2013-12-23T23:15:00Z</dcterms:modified>
  <cp:category/>
</cp:coreProperties>
</file>